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978" w:rsidRDefault="002E0AB6">
      <w:pPr>
        <w:jc w:val="center"/>
      </w:pPr>
      <w:r>
        <w:rPr>
          <w:b/>
          <w:sz w:val="30"/>
        </w:rPr>
        <w:t>PRZEDMIOTOWE ZASADY OCENIANIA (PZO)</w:t>
      </w:r>
    </w:p>
    <w:p w:rsidR="00456978" w:rsidRDefault="002E0AB6">
      <w:pPr>
        <w:jc w:val="center"/>
      </w:pPr>
      <w:r>
        <w:rPr>
          <w:b/>
          <w:sz w:val="24"/>
        </w:rPr>
        <w:t>BIOLOGIA – KLASA 6 SZKOŁY PODSTAWOWEJ</w:t>
      </w:r>
    </w:p>
    <w:p w:rsidR="00456978" w:rsidRDefault="002E0AB6">
      <w:pPr>
        <w:jc w:val="center"/>
      </w:pPr>
      <w:r>
        <w:rPr>
          <w:i/>
          <w:sz w:val="18"/>
        </w:rPr>
        <w:t>Wymagania edukacyjne na poszczególne oceny</w:t>
      </w:r>
    </w:p>
    <w:tbl>
      <w:tblPr>
        <w:tblStyle w:val="Tabela-Siatka"/>
        <w:tblW w:w="0" w:type="auto"/>
        <w:jc w:val="center"/>
        <w:tblLook w:val="04A0"/>
      </w:tblPr>
      <w:tblGrid>
        <w:gridCol w:w="3926"/>
        <w:gridCol w:w="3926"/>
        <w:gridCol w:w="3926"/>
        <w:gridCol w:w="3926"/>
      </w:tblGrid>
      <w:tr w:rsidR="00456978">
        <w:trPr>
          <w:jc w:val="center"/>
        </w:trPr>
        <w:tc>
          <w:tcPr>
            <w:tcW w:w="3926" w:type="dxa"/>
          </w:tcPr>
          <w:p w:rsidR="00456978" w:rsidRDefault="002E0AB6">
            <w:r>
              <w:rPr>
                <w:b/>
              </w:rPr>
              <w:t>Szkoła:</w:t>
            </w:r>
          </w:p>
        </w:tc>
        <w:tc>
          <w:tcPr>
            <w:tcW w:w="3926" w:type="dxa"/>
          </w:tcPr>
          <w:p w:rsidR="00456978" w:rsidRDefault="002E0AB6">
            <w:r>
              <w:rPr>
                <w:b/>
              </w:rPr>
              <w:t>Nauczyciel:</w:t>
            </w:r>
          </w:p>
        </w:tc>
        <w:tc>
          <w:tcPr>
            <w:tcW w:w="3926" w:type="dxa"/>
          </w:tcPr>
          <w:p w:rsidR="00456978" w:rsidRDefault="002E0AB6">
            <w:r>
              <w:rPr>
                <w:b/>
              </w:rPr>
              <w:t>Rok szkolny:</w:t>
            </w:r>
          </w:p>
        </w:tc>
        <w:tc>
          <w:tcPr>
            <w:tcW w:w="3926" w:type="dxa"/>
          </w:tcPr>
          <w:p w:rsidR="00456978" w:rsidRDefault="002E0AB6">
            <w:r>
              <w:rPr>
                <w:b/>
              </w:rPr>
              <w:t>Program / podręcznik:</w:t>
            </w:r>
          </w:p>
        </w:tc>
      </w:tr>
      <w:tr w:rsidR="00456978">
        <w:trPr>
          <w:jc w:val="center"/>
        </w:trPr>
        <w:tc>
          <w:tcPr>
            <w:tcW w:w="3926" w:type="dxa"/>
          </w:tcPr>
          <w:p w:rsidR="00456978" w:rsidRDefault="002E0AB6">
            <w:r>
              <w:t>........................................</w:t>
            </w:r>
          </w:p>
        </w:tc>
        <w:tc>
          <w:tcPr>
            <w:tcW w:w="3926" w:type="dxa"/>
          </w:tcPr>
          <w:p w:rsidR="00456978" w:rsidRDefault="002E0AB6">
            <w:r>
              <w:t>Kamil Prentki</w:t>
            </w:r>
          </w:p>
        </w:tc>
        <w:tc>
          <w:tcPr>
            <w:tcW w:w="3926" w:type="dxa"/>
          </w:tcPr>
          <w:p w:rsidR="00456978" w:rsidRDefault="002E0AB6">
            <w:r>
              <w:t>2026/2027</w:t>
            </w:r>
          </w:p>
        </w:tc>
        <w:tc>
          <w:tcPr>
            <w:tcW w:w="3926" w:type="dxa"/>
          </w:tcPr>
          <w:p w:rsidR="00456978" w:rsidRDefault="002E0AB6">
            <w:r>
              <w:t xml:space="preserve">„Puls Życia” – </w:t>
            </w:r>
            <w:r>
              <w:t>Nowa Era</w:t>
            </w:r>
          </w:p>
        </w:tc>
      </w:tr>
    </w:tbl>
    <w:p w:rsidR="00456978" w:rsidRDefault="002E0AB6">
      <w:r>
        <w:rPr>
          <w:b/>
        </w:rPr>
        <w:t xml:space="preserve">Zasada ogólna: </w:t>
      </w:r>
      <w:r>
        <w:t>Wymagania na ocenę wyższą obejmują wymagania niższe. Ocenie podlega stopień opanowania wiadomości i umiejętności, poprawne posługiwanie się terminologią biologiczną, praca z ilustracją i schematem, analiza danych, doświadczenia i o</w:t>
      </w:r>
      <w:r>
        <w:t>bserwacje, aktywność oraz samodzielność ucznia.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456978">
        <w:trPr>
          <w:jc w:val="center"/>
        </w:trPr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6 – celujący</w:t>
            </w:r>
          </w:p>
        </w:tc>
      </w:tr>
      <w:tr w:rsidR="00456978">
        <w:trPr>
          <w:jc w:val="center"/>
        </w:trPr>
        <w:tc>
          <w:tcPr>
            <w:tcW w:w="3141" w:type="dxa"/>
          </w:tcPr>
          <w:p w:rsidR="00456978" w:rsidRDefault="002E0AB6">
            <w:r>
              <w:rPr>
                <w:sz w:val="12"/>
              </w:rPr>
              <w:t>Rozpoznaje i nazywa podstawowe elementy; wykonuje proste polecenia z pomocą nauczyciela.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 xml:space="preserve">Zna podstawowe pojęcia i fakty; wykonuje </w:t>
            </w:r>
            <w:r>
              <w:rPr>
                <w:sz w:val="12"/>
              </w:rPr>
              <w:t>typowe zadania i udziela krótkich odpowiedzi.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Samodzielnie stosuje wiadomości; opisuje zależności, interpretuje schematy i wykonuje typowe zadania.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Wyjaśnia procesy, analizuje informacje, łączy wiadomości, interpretuje dane i wyciąga wnioski.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Twórczo wykor</w:t>
            </w:r>
            <w:r>
              <w:rPr>
                <w:sz w:val="12"/>
              </w:rPr>
              <w:t>zystuje wiedzę, rozwiązuje problemy o podwyższonym stopniu trudności, uzasadnia wnioski i podejmuje dodatkowe działania.</w:t>
            </w:r>
          </w:p>
        </w:tc>
      </w:tr>
    </w:tbl>
    <w:p w:rsidR="00456978" w:rsidRDefault="002E0AB6">
      <w:pPr>
        <w:spacing w:before="60" w:after="20"/>
      </w:pPr>
      <w:r>
        <w:rPr>
          <w:b/>
          <w:sz w:val="19"/>
        </w:rPr>
        <w:t>I. Świat zwierząt – bezkręgowce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456978">
        <w:trPr>
          <w:jc w:val="center"/>
        </w:trPr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6 – celujący</w:t>
            </w:r>
          </w:p>
        </w:tc>
      </w:tr>
      <w:tr w:rsidR="00456978">
        <w:trPr>
          <w:jc w:val="center"/>
        </w:trPr>
        <w:tc>
          <w:tcPr>
            <w:tcW w:w="3141" w:type="dxa"/>
          </w:tcPr>
          <w:p w:rsidR="00456978" w:rsidRDefault="002E0AB6">
            <w:r>
              <w:rPr>
                <w:sz w:val="12"/>
              </w:rPr>
              <w:t>Rozpoznaje podstawowe grupy</w:t>
            </w:r>
            <w:r>
              <w:rPr>
                <w:sz w:val="12"/>
              </w:rPr>
              <w:t xml:space="preserve"> bezkręgowców i podaje przykłady.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Charakteryzuje najważniejsze grupy bezkręgowców i ich środowiska życia.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Porównuje budowę, czynności życiowe i przystosowania bezkręgowców.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Analizuje zależność między budową a trybem życia oraz interpretuje schematy.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Samodz</w:t>
            </w:r>
            <w:r>
              <w:rPr>
                <w:sz w:val="12"/>
              </w:rPr>
              <w:t>ielnie analizuje przystosowania i znaczenie bezkręgowców w ekosystemach.</w:t>
            </w:r>
          </w:p>
        </w:tc>
      </w:tr>
    </w:tbl>
    <w:p w:rsidR="00456978" w:rsidRDefault="002E0AB6">
      <w:pPr>
        <w:spacing w:before="60" w:after="20"/>
      </w:pPr>
      <w:r>
        <w:rPr>
          <w:b/>
          <w:sz w:val="19"/>
        </w:rPr>
        <w:t>II. Stawonogi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456978">
        <w:trPr>
          <w:jc w:val="center"/>
        </w:trPr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6 – celujący</w:t>
            </w:r>
          </w:p>
        </w:tc>
      </w:tr>
      <w:tr w:rsidR="00456978">
        <w:trPr>
          <w:jc w:val="center"/>
        </w:trPr>
        <w:tc>
          <w:tcPr>
            <w:tcW w:w="3141" w:type="dxa"/>
          </w:tcPr>
          <w:p w:rsidR="00456978" w:rsidRDefault="002E0AB6">
            <w:r>
              <w:rPr>
                <w:sz w:val="12"/>
              </w:rPr>
              <w:t>Rozpoznaje owady, pajęczaki i skorupiaki; podaje ich podstawowe cechy.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 xml:space="preserve">Opisuje budowę i </w:t>
            </w:r>
            <w:r>
              <w:rPr>
                <w:sz w:val="12"/>
              </w:rPr>
              <w:t>sposób życia wybranych stawonogów.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Porównuje grupy stawonogów, ich narządy i przystosowania.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Wyjaśnia znaczenie stawonogów oraz analizuje ich rozwój i przystosowania.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Analizuje różnorodność stawonogów i znaczenie ich cech w środowisku.</w:t>
            </w:r>
          </w:p>
        </w:tc>
      </w:tr>
    </w:tbl>
    <w:p w:rsidR="00456978" w:rsidRDefault="002E0AB6">
      <w:pPr>
        <w:spacing w:before="60" w:after="20"/>
      </w:pPr>
      <w:r>
        <w:rPr>
          <w:b/>
          <w:sz w:val="19"/>
        </w:rPr>
        <w:t>III. Mięczaki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456978">
        <w:trPr>
          <w:jc w:val="center"/>
        </w:trPr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 xml:space="preserve">2 – </w:t>
            </w:r>
            <w:r>
              <w:rPr>
                <w:b/>
                <w:sz w:val="13"/>
              </w:rPr>
              <w:t>dopuszczający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6 – celujący</w:t>
            </w:r>
          </w:p>
        </w:tc>
      </w:tr>
      <w:tr w:rsidR="00456978">
        <w:trPr>
          <w:jc w:val="center"/>
        </w:trPr>
        <w:tc>
          <w:tcPr>
            <w:tcW w:w="3141" w:type="dxa"/>
          </w:tcPr>
          <w:p w:rsidR="00456978" w:rsidRDefault="002E0AB6">
            <w:r>
              <w:rPr>
                <w:sz w:val="12"/>
              </w:rPr>
              <w:t>Rozpoznaje ślimaki, małże i głowonogi oraz ich podstawowe cechy.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Opisuje budowę i sposób odżywiania wybranych mięczaków.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Porównuje grupy mięczaków i wyjaśnia ich przystosowania.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Analizuje zależność budowy od środowiska życia oraz znaczenie mięczaków.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Samodzielnie interpretuje różnorodność i znaczenie mięczaków.</w:t>
            </w:r>
          </w:p>
        </w:tc>
      </w:tr>
    </w:tbl>
    <w:p w:rsidR="00456978" w:rsidRDefault="002E0AB6">
      <w:r>
        <w:br w:type="page"/>
      </w:r>
    </w:p>
    <w:p w:rsidR="00456978" w:rsidRDefault="002E0AB6">
      <w:pPr>
        <w:spacing w:before="60" w:after="20"/>
      </w:pPr>
      <w:r>
        <w:rPr>
          <w:b/>
          <w:sz w:val="19"/>
        </w:rPr>
        <w:lastRenderedPageBreak/>
        <w:t>IV. Kręgowce – ryby, płazy i gady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456978">
        <w:trPr>
          <w:jc w:val="center"/>
        </w:trPr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6 – celujący</w:t>
            </w:r>
          </w:p>
        </w:tc>
      </w:tr>
      <w:tr w:rsidR="00456978">
        <w:trPr>
          <w:jc w:val="center"/>
        </w:trPr>
        <w:tc>
          <w:tcPr>
            <w:tcW w:w="3141" w:type="dxa"/>
          </w:tcPr>
          <w:p w:rsidR="00456978" w:rsidRDefault="002E0AB6">
            <w:r>
              <w:rPr>
                <w:sz w:val="12"/>
              </w:rPr>
              <w:t>Rozpoznaj</w:t>
            </w:r>
            <w:r>
              <w:rPr>
                <w:sz w:val="12"/>
              </w:rPr>
              <w:t>e ryby, płazy i gady; wymienia ich podstawowe cechy.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Opisuje budowę i przystosowania do środowiska życia.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Porównuje ryby, płazy i gady pod względem budowy i rozmnażania.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Analizuje przystosowania kręgowców do środowiska i zależność budowy od trybu życia.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Sa</w:t>
            </w:r>
            <w:r>
              <w:rPr>
                <w:sz w:val="12"/>
              </w:rPr>
              <w:t>modzielnie wyjaśnia znaczenie ewolucyjnych przystosowań kręgowców.</w:t>
            </w:r>
          </w:p>
        </w:tc>
      </w:tr>
    </w:tbl>
    <w:p w:rsidR="00456978" w:rsidRDefault="002E0AB6">
      <w:pPr>
        <w:spacing w:before="60" w:after="20"/>
      </w:pPr>
      <w:r>
        <w:rPr>
          <w:b/>
          <w:sz w:val="19"/>
        </w:rPr>
        <w:t>V. Ptaki i ssaki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456978">
        <w:trPr>
          <w:jc w:val="center"/>
        </w:trPr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6 – celujący</w:t>
            </w:r>
          </w:p>
        </w:tc>
      </w:tr>
      <w:tr w:rsidR="00456978">
        <w:trPr>
          <w:jc w:val="center"/>
        </w:trPr>
        <w:tc>
          <w:tcPr>
            <w:tcW w:w="3141" w:type="dxa"/>
          </w:tcPr>
          <w:p w:rsidR="00456978" w:rsidRDefault="002E0AB6">
            <w:r>
              <w:rPr>
                <w:sz w:val="12"/>
              </w:rPr>
              <w:t>Rozpoznaje ptaki i ssaki oraz podaje ich podstawowe cechy.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 xml:space="preserve">Opisuje budowę, rozmnażanie i </w:t>
            </w:r>
            <w:r>
              <w:rPr>
                <w:sz w:val="12"/>
              </w:rPr>
              <w:t>przystosowania ptaków i ssaków.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Porównuje ptaki i ssaki, wyjaśnia znaczenie piór, sierści i stałocieplności.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Analizuje przystosowania do lotu, zdobywania pokarmu i różnych środowisk.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Samodzielnie analizuje różnorodność i znaczenie ptaków oraz ssaków.</w:t>
            </w:r>
          </w:p>
        </w:tc>
      </w:tr>
    </w:tbl>
    <w:p w:rsidR="00456978" w:rsidRDefault="002E0AB6">
      <w:pPr>
        <w:spacing w:before="60" w:after="20"/>
      </w:pPr>
      <w:r>
        <w:rPr>
          <w:b/>
          <w:sz w:val="19"/>
        </w:rPr>
        <w:t xml:space="preserve">VI. </w:t>
      </w:r>
      <w:r>
        <w:rPr>
          <w:b/>
          <w:sz w:val="19"/>
        </w:rPr>
        <w:t>Różnorodność i ochrona zwierząt</w:t>
      </w:r>
    </w:p>
    <w:tbl>
      <w:tblPr>
        <w:tblStyle w:val="Tabela-Siatka"/>
        <w:tblW w:w="0" w:type="auto"/>
        <w:jc w:val="center"/>
        <w:tblLook w:val="04A0"/>
      </w:tblPr>
      <w:tblGrid>
        <w:gridCol w:w="3141"/>
        <w:gridCol w:w="3141"/>
        <w:gridCol w:w="3141"/>
        <w:gridCol w:w="3141"/>
        <w:gridCol w:w="3141"/>
      </w:tblGrid>
      <w:tr w:rsidR="00456978">
        <w:trPr>
          <w:jc w:val="center"/>
        </w:trPr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2 – dopuszczający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3 – dostateczny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4 – dobry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5 – bardzo dobry</w:t>
            </w:r>
          </w:p>
        </w:tc>
        <w:tc>
          <w:tcPr>
            <w:tcW w:w="3141" w:type="dxa"/>
          </w:tcPr>
          <w:p w:rsidR="00456978" w:rsidRDefault="002E0AB6">
            <w:r>
              <w:rPr>
                <w:b/>
                <w:sz w:val="13"/>
              </w:rPr>
              <w:t>6 – celujący</w:t>
            </w:r>
          </w:p>
        </w:tc>
      </w:tr>
      <w:tr w:rsidR="00456978">
        <w:trPr>
          <w:jc w:val="center"/>
        </w:trPr>
        <w:tc>
          <w:tcPr>
            <w:tcW w:w="3141" w:type="dxa"/>
          </w:tcPr>
          <w:p w:rsidR="00456978" w:rsidRDefault="002E0AB6">
            <w:r>
              <w:rPr>
                <w:sz w:val="12"/>
              </w:rPr>
              <w:t>Rozpoznaje wybrane gatunki i zna podstawowe zasady ochrony.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Wymienia zagrożenia dla zwierząt i sposoby ich ochrony.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 xml:space="preserve">Wyjaśnia znaczenie różnorodności </w:t>
            </w:r>
            <w:r>
              <w:rPr>
                <w:sz w:val="12"/>
              </w:rPr>
              <w:t>biologicznej i ochrony gatunkowej.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Analizuje wpływ człowieka na zwierzęta i proponuje działania ochronne.</w:t>
            </w:r>
          </w:p>
        </w:tc>
        <w:tc>
          <w:tcPr>
            <w:tcW w:w="3141" w:type="dxa"/>
          </w:tcPr>
          <w:p w:rsidR="00456978" w:rsidRDefault="002E0AB6">
            <w:r>
              <w:rPr>
                <w:sz w:val="12"/>
              </w:rPr>
              <w:t>Samodzielnie ocenia skutki działań człowieka i uzasadnia strategie ochrony przyrody.</w:t>
            </w:r>
          </w:p>
        </w:tc>
      </w:tr>
    </w:tbl>
    <w:p w:rsidR="002E0AB6" w:rsidRDefault="002E0AB6"/>
    <w:sectPr w:rsidR="002E0AB6" w:rsidSect="00034616">
      <w:footerReference w:type="default" r:id="rId8"/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0AB6" w:rsidRDefault="002E0AB6" w:rsidP="00456978">
      <w:pPr>
        <w:spacing w:after="0" w:line="240" w:lineRule="auto"/>
      </w:pPr>
      <w:r>
        <w:separator/>
      </w:r>
    </w:p>
  </w:endnote>
  <w:endnote w:type="continuationSeparator" w:id="1">
    <w:p w:rsidR="002E0AB6" w:rsidRDefault="002E0AB6" w:rsidP="00456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78" w:rsidRDefault="002E0AB6">
    <w:pPr>
      <w:pStyle w:val="Stopka"/>
      <w:jc w:val="center"/>
    </w:pPr>
    <w:r>
      <w:rPr>
        <w:sz w:val="12"/>
      </w:rPr>
      <w:t>PZO – Biologia, klasa 6 | Nowa Era „Puls Życia”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0AB6" w:rsidRDefault="002E0AB6" w:rsidP="00456978">
      <w:pPr>
        <w:spacing w:after="0" w:line="240" w:lineRule="auto"/>
      </w:pPr>
      <w:r>
        <w:separator/>
      </w:r>
    </w:p>
  </w:footnote>
  <w:footnote w:type="continuationSeparator" w:id="1">
    <w:p w:rsidR="002E0AB6" w:rsidRDefault="002E0AB6" w:rsidP="004569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29639D"/>
    <w:rsid w:val="002E0AB6"/>
    <w:rsid w:val="00326F90"/>
    <w:rsid w:val="00456978"/>
    <w:rsid w:val="00522F10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1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Nauczyciel</cp:lastModifiedBy>
  <cp:revision>2</cp:revision>
  <dcterms:created xsi:type="dcterms:W3CDTF">2026-10-04T16:08:00Z</dcterms:created>
  <dcterms:modified xsi:type="dcterms:W3CDTF">2026-10-04T16:08:00Z</dcterms:modified>
</cp:coreProperties>
</file>