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FA72" w14:textId="77777777" w:rsidR="0016543F" w:rsidRDefault="00997784">
      <w:pPr>
        <w:widowControl w:val="0"/>
        <w:jc w:val="both"/>
        <w:outlineLvl w:val="0"/>
        <w:rPr>
          <w:rFonts w:hint="eastAsia"/>
        </w:rPr>
      </w:pPr>
      <w:r>
        <w:rPr>
          <w:rFonts w:ascii="Calibri" w:hAnsi="Calibri"/>
          <w:b/>
          <w:color w:val="2E74B5" w:themeColor="accent1" w:themeShade="BF"/>
          <w:sz w:val="52"/>
          <w:szCs w:val="52"/>
        </w:rPr>
        <w:t>1. Przedmiotowy system oceniania</w:t>
      </w:r>
    </w:p>
    <w:p w14:paraId="09D5C1EE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ucznia polega na rozpoznaniu stopnia opan</w:t>
      </w:r>
      <w:r w:rsidR="00E20E8F">
        <w:rPr>
          <w:rFonts w:ascii="Calibri" w:hAnsi="Calibri"/>
        </w:rPr>
        <w:t>owania przez niego wiadomości i </w:t>
      </w:r>
      <w:r>
        <w:rPr>
          <w:rFonts w:ascii="Calibri" w:hAnsi="Calibri"/>
        </w:rPr>
        <w:t>umiejętności rozwiązywania zadań technicznych w stosunku do wymagań edukacyjnych wynikających z podstawy programowej. Ocenianie służy zatem do sprawdzenia skuteczności procesu dydaktycznego i ma na celu:</w:t>
      </w:r>
    </w:p>
    <w:p w14:paraId="687D8B1E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informowanie ucznia o poziomie jego osiągnięć edukacyjnych i o postępach w tym zakresie,</w:t>
      </w:r>
    </w:p>
    <w:p w14:paraId="334EFEED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wspomaganie ucznia w samodzielnym planowaniu swojego rozwoju,</w:t>
      </w:r>
    </w:p>
    <w:p w14:paraId="78969BB1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motywowanie do dalszych postępów w nauce,</w:t>
      </w:r>
    </w:p>
    <w:p w14:paraId="44DFCE16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dostarczanie rodzicom i nauczycielom informacji o trudnościach w nauce oraz specjalnych uzdolnieniach ucznia,</w:t>
      </w:r>
    </w:p>
    <w:p w14:paraId="58F1F456" w14:textId="77777777" w:rsidR="0016543F" w:rsidRDefault="00997784">
      <w:pPr>
        <w:widowControl w:val="0"/>
        <w:numPr>
          <w:ilvl w:val="0"/>
          <w:numId w:val="1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umożliwienie nauczycielom doskonalenia organizacji i metod pracy dydaktyczno-wychowawczej.</w:t>
      </w:r>
    </w:p>
    <w:p w14:paraId="553778FB" w14:textId="77777777" w:rsidR="0016543F" w:rsidRDefault="0016543F">
      <w:pPr>
        <w:widowControl w:val="0"/>
        <w:tabs>
          <w:tab w:val="left" w:pos="250"/>
        </w:tabs>
        <w:ind w:left="360" w:hanging="360"/>
        <w:jc w:val="both"/>
        <w:rPr>
          <w:rFonts w:hint="eastAsia"/>
        </w:rPr>
      </w:pPr>
    </w:p>
    <w:p w14:paraId="4C292B0C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0" w:name="bookmark6"/>
      <w:bookmarkEnd w:id="0"/>
      <w:r>
        <w:rPr>
          <w:rFonts w:ascii="Calibri" w:hAnsi="Calibri"/>
          <w:b/>
          <w:bCs/>
          <w:sz w:val="28"/>
          <w:szCs w:val="28"/>
        </w:rPr>
        <w:t>Kryteria oceniania</w:t>
      </w:r>
    </w:p>
    <w:p w14:paraId="62653A7B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608179B1" w14:textId="77777777" w:rsidR="0016543F" w:rsidRDefault="00997784">
      <w:pPr>
        <w:widowControl w:val="0"/>
        <w:ind w:left="360" w:hanging="360"/>
        <w:jc w:val="both"/>
        <w:rPr>
          <w:rFonts w:hint="eastAsia"/>
        </w:rPr>
      </w:pPr>
      <w:r>
        <w:rPr>
          <w:rFonts w:ascii="Calibri" w:hAnsi="Calibri"/>
        </w:rPr>
        <w:t>Oceniając osiągnięcia, należy zwrócić uwagę na:</w:t>
      </w:r>
    </w:p>
    <w:p w14:paraId="6226628D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rozumienie zjawisk technicznych,</w:t>
      </w:r>
    </w:p>
    <w:p w14:paraId="759FA099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wnioskowania,</w:t>
      </w:r>
    </w:p>
    <w:p w14:paraId="07E10492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ze zrozumieniem instrukcji urządzeń i przykładów dokumentacji technicznej,</w:t>
      </w:r>
    </w:p>
    <w:p w14:paraId="5E791999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czytanie rysunków złożeniowych i wykonawczych,</w:t>
      </w:r>
    </w:p>
    <w:p w14:paraId="66D7E423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umiejętność organizacji miejsca pracy,</w:t>
      </w:r>
    </w:p>
    <w:p w14:paraId="0357FF97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właściwe wykorzystanie materiałów, narzędzi i urządzeń technicznych,</w:t>
      </w:r>
    </w:p>
    <w:p w14:paraId="61F4F468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przestrzeganie zasad BHP,</w:t>
      </w:r>
    </w:p>
    <w:p w14:paraId="0D512E99" w14:textId="77777777" w:rsidR="0016543F" w:rsidRDefault="00997784">
      <w:pPr>
        <w:widowControl w:val="0"/>
        <w:numPr>
          <w:ilvl w:val="0"/>
          <w:numId w:val="2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</w:rPr>
        <w:t>dokładność i staranność wykonywania zadań.</w:t>
      </w:r>
    </w:p>
    <w:p w14:paraId="7E755DDF" w14:textId="77777777" w:rsidR="0016543F" w:rsidRDefault="00997784">
      <w:pPr>
        <w:widowControl w:val="0"/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Ocenę osiągnięć ucznia</w:t>
      </w:r>
      <w:r>
        <w:rPr>
          <w:rFonts w:ascii="Calibri" w:hAnsi="Calibri"/>
        </w:rPr>
        <w:t xml:space="preserve"> można sformułować z wykorzystaniem zaproponowanych kryteriów odnoszących się do sześciostopniowej skali ocen.</w:t>
      </w:r>
    </w:p>
    <w:p w14:paraId="779F4059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celujący</w:t>
      </w:r>
      <w:r>
        <w:rPr>
          <w:rFonts w:ascii="Calibri" w:hAnsi="Calibri"/>
        </w:rPr>
        <w:t xml:space="preserve"> otrzymuje uczeń, który pracuje systematycznie, wykonuje wszystkie zadania samodzielnie, a także starannie i poprawnie pod względem merytorycznym. Opanował wymaganą wiedzę i umiejętności, wykazuje się dużym zaangażowaniem na lekcji, a podczas wykonywania praktycznych zadań przestrzega zasad BHP, bezpiecznie posługuje się narzędziami i dba o właściwą organizację miejsca pracy.</w:t>
      </w:r>
    </w:p>
    <w:p w14:paraId="33749EC7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bardzo dobry</w:t>
      </w:r>
      <w:r>
        <w:rPr>
          <w:rFonts w:ascii="Calibri" w:hAnsi="Calibri"/>
        </w:rPr>
        <w:t xml:space="preserve"> przysługuje uczniowi, który pracuje systematycznie i z reguły samodzielnie oraz wykonuje zadania poprawnie pod względem merytorycznym. Ponadto odpowiednio organizuje swoje stanowisko pracy i zachowuje podstawowe zasady bezpieczeństwa.</w:t>
      </w:r>
    </w:p>
    <w:p w14:paraId="1BFC094B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dobry</w:t>
      </w:r>
      <w:r>
        <w:rPr>
          <w:rFonts w:ascii="Calibri" w:hAnsi="Calibri"/>
        </w:rPr>
        <w:t xml:space="preserve"> uzyskuje uczeń, który na lekcjach korzysta z niewielkiej pomocy nauczyciela lub koleżanek i kolegów. W czasie wykonywania prac praktycznych właściwie dobiera narzędzia i utrzymuje porządek na swoim stanowisku.</w:t>
      </w:r>
    </w:p>
    <w:p w14:paraId="2EFD4349" w14:textId="77777777" w:rsidR="0016543F" w:rsidRDefault="00997784">
      <w:pPr>
        <w:widowControl w:val="0"/>
        <w:numPr>
          <w:ilvl w:val="0"/>
          <w:numId w:val="3"/>
        </w:numPr>
        <w:tabs>
          <w:tab w:val="left" w:pos="250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dostateczny</w:t>
      </w:r>
      <w:r>
        <w:rPr>
          <w:rFonts w:ascii="Calibri" w:hAnsi="Calibri"/>
        </w:rPr>
        <w:t xml:space="preserve"> przeznaczony jest dla ucznia, który pracuje systematycznie, ale podczas realizowania działań technicznych w dużej mierze k</w:t>
      </w:r>
      <w:r w:rsidR="00E20E8F">
        <w:rPr>
          <w:rFonts w:ascii="Calibri" w:hAnsi="Calibri"/>
        </w:rPr>
        <w:t>orzysta z pomocy innych osób, a</w:t>
      </w:r>
      <w:r>
        <w:rPr>
          <w:rFonts w:ascii="Calibri" w:hAnsi="Calibri"/>
        </w:rPr>
        <w:t>treści nauczania opanował na poziomie niższym niż dostateczny.</w:t>
      </w:r>
    </w:p>
    <w:p w14:paraId="450B1479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dopuszczający</w:t>
      </w:r>
      <w:r>
        <w:rPr>
          <w:rFonts w:ascii="Calibri" w:hAnsi="Calibri"/>
        </w:rPr>
        <w:t xml:space="preserve"> otrzymuje uczeń, który z trudem wykonuje działania zaplanowane do zrealizowania podczas lekcji, ale podejmuje w tym kierunku starania. Na sprawdzianach osiąga wyniki poniżej oceny dostatecznej. Pracuje niesystematycznie, często jest nieprzygotowany do lekcji.</w:t>
      </w:r>
    </w:p>
    <w:p w14:paraId="551D2E56" w14:textId="77777777" w:rsidR="0016543F" w:rsidRDefault="00997784">
      <w:pPr>
        <w:widowControl w:val="0"/>
        <w:numPr>
          <w:ilvl w:val="0"/>
          <w:numId w:val="3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  <w:b/>
          <w:bCs/>
        </w:rPr>
        <w:t>Stopień niedostateczny</w:t>
      </w:r>
      <w:r>
        <w:rPr>
          <w:rFonts w:ascii="Calibri" w:hAnsi="Calibri"/>
        </w:rPr>
        <w:t xml:space="preserve"> uzyskuje uczeń, który nie zdobył wiadomości i umiejętności </w:t>
      </w:r>
      <w:r>
        <w:rPr>
          <w:rFonts w:ascii="Calibri" w:hAnsi="Calibri"/>
        </w:rPr>
        <w:lastRenderedPageBreak/>
        <w:t>niezbędnych do dalszego kształcenia. W trakcie pracy na lekcji nie wykazuje zaangażowania, przeważnie jest nieprzygotowany do zajęć i lekceważy podstawowe obowiązki szkolne.</w:t>
      </w:r>
    </w:p>
    <w:p w14:paraId="5B8784EA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  <w:b/>
          <w:bCs/>
        </w:rPr>
        <w:t>Oceniając osiągnięcia uczniów, poza wiedzą i umiejętnościami należy wziąć pod uwagę:</w:t>
      </w:r>
    </w:p>
    <w:p w14:paraId="7902DF85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podczas lekcji,</w:t>
      </w:r>
    </w:p>
    <w:p w14:paraId="7E45DB56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zaangażowanie w wykonywane zadania,</w:t>
      </w:r>
    </w:p>
    <w:p w14:paraId="58FC7358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umiejętność pracy w grupie,</w:t>
      </w:r>
    </w:p>
    <w:p w14:paraId="67E1CF9B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obowiązkowość i systematyczność,</w:t>
      </w:r>
    </w:p>
    <w:p w14:paraId="5CE668F0" w14:textId="77777777" w:rsidR="0016543F" w:rsidRDefault="00997784">
      <w:pPr>
        <w:widowControl w:val="0"/>
        <w:numPr>
          <w:ilvl w:val="0"/>
          <w:numId w:val="4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udział w pracach na rzecz szkoły i ochrony środowiska naturalnego.</w:t>
      </w:r>
    </w:p>
    <w:p w14:paraId="0E54B427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wypadku techniki trzeba ponadto uwzględnić stosunek ucznia do wykonywania działań praktycznych. Istotne są też: pomysłowość konstrukcyjna, właściwy dobór materiałów, estetyka wykonania oraz przestrzeganie zasad bezpieczeństwa. Ocena powinna przede wszystkim odzwierciedlać indywidualne podejście ucznia do lekcji, jego motywację i zaangażowanie w pracę.</w:t>
      </w:r>
    </w:p>
    <w:p w14:paraId="62900466" w14:textId="77777777" w:rsidR="0016543F" w:rsidRDefault="0016543F">
      <w:pPr>
        <w:widowControl w:val="0"/>
        <w:jc w:val="both"/>
        <w:rPr>
          <w:rFonts w:hint="eastAsia"/>
        </w:rPr>
      </w:pPr>
    </w:p>
    <w:p w14:paraId="4A059ACA" w14:textId="77777777" w:rsidR="0016543F" w:rsidRDefault="00997784">
      <w:pPr>
        <w:widowControl w:val="0"/>
        <w:jc w:val="both"/>
        <w:outlineLvl w:val="6"/>
        <w:rPr>
          <w:rFonts w:hint="eastAsia"/>
        </w:rPr>
      </w:pPr>
      <w:bookmarkStart w:id="1" w:name="bookmark7"/>
      <w:bookmarkEnd w:id="1"/>
      <w:r>
        <w:rPr>
          <w:rFonts w:ascii="Calibri" w:hAnsi="Calibri"/>
          <w:b/>
          <w:bCs/>
          <w:sz w:val="28"/>
          <w:szCs w:val="28"/>
        </w:rPr>
        <w:t>Metody sprawdzania osiągnięć</w:t>
      </w:r>
    </w:p>
    <w:p w14:paraId="54101A23" w14:textId="77777777" w:rsidR="0016543F" w:rsidRDefault="0016543F">
      <w:pPr>
        <w:widowControl w:val="0"/>
        <w:jc w:val="both"/>
        <w:outlineLvl w:val="6"/>
        <w:rPr>
          <w:rFonts w:hint="eastAsia"/>
        </w:rPr>
      </w:pPr>
    </w:p>
    <w:p w14:paraId="08C799FE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Ocena osiągnięć jest integralną częścią procesu nauczania. Najpełniejszy obraz wyników ucznia daje ocenianie systematyczne i oparte na różnorodnych sposobach weryfikowania wiedzy oraz umiejętności. W nauczaniu techniki oceniać można następujące formy pracy:</w:t>
      </w:r>
    </w:p>
    <w:p w14:paraId="6C6B609D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test,</w:t>
      </w:r>
    </w:p>
    <w:p w14:paraId="6E6661D7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sprawdzian,</w:t>
      </w:r>
    </w:p>
    <w:p w14:paraId="68C46A37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praktyczne,</w:t>
      </w:r>
    </w:p>
    <w:p w14:paraId="522BBC96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zadanie domowe,</w:t>
      </w:r>
    </w:p>
    <w:p w14:paraId="72EEA2F3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aktywność na lekcji,</w:t>
      </w:r>
    </w:p>
    <w:p w14:paraId="47EE4A06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odpowiedź ustną,</w:t>
      </w:r>
    </w:p>
    <w:p w14:paraId="1B9AAADD" w14:textId="77777777" w:rsidR="0016543F" w:rsidRDefault="00997784">
      <w:pPr>
        <w:widowControl w:val="0"/>
        <w:numPr>
          <w:ilvl w:val="0"/>
          <w:numId w:val="5"/>
        </w:numPr>
        <w:tabs>
          <w:tab w:val="left" w:pos="245"/>
        </w:tabs>
        <w:jc w:val="both"/>
        <w:rPr>
          <w:rFonts w:hint="eastAsia"/>
        </w:rPr>
      </w:pPr>
      <w:r>
        <w:rPr>
          <w:rFonts w:ascii="Calibri" w:hAnsi="Calibri"/>
        </w:rPr>
        <w:t>pracę pozalekcyjną (np. konkurs, projekt).</w:t>
      </w:r>
    </w:p>
    <w:p w14:paraId="17999C3B" w14:textId="77777777" w:rsidR="0016543F" w:rsidRDefault="00997784">
      <w:pPr>
        <w:widowControl w:val="0"/>
        <w:jc w:val="both"/>
        <w:rPr>
          <w:rFonts w:hint="eastAsia"/>
        </w:rPr>
      </w:pPr>
      <w:r>
        <w:rPr>
          <w:rFonts w:ascii="Calibri" w:hAnsi="Calibri"/>
        </w:rPr>
        <w:t>W ocenianiu szkolnym dąży się do spełnienia wymogów obiektywności poprzez jasność kryteriów i procedur oceny. Należy informować uczniów oraz rodziców (prawnych opiekunów) o zasadach oceniania i wymaganiach edukacyjnych wynikających z realizowanego programu nauczania, a także o sposobie sprawdzania osiągnięć młodych ludzi. Jawna i dobrze uzasadniona ocena jest bowiem dla ucznia źródłem informacji wspierających jego rozwój i może być zachętą do podejmowania działań technicznych.</w:t>
      </w:r>
    </w:p>
    <w:sectPr w:rsidR="0016543F">
      <w:footerReference w:type="default" r:id="rId7"/>
      <w:pgSz w:w="11906" w:h="16838"/>
      <w:pgMar w:top="1134" w:right="1134" w:bottom="1601" w:left="1134" w:header="0" w:footer="113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5695B" w14:textId="77777777" w:rsidR="005A0912" w:rsidRDefault="005A0912">
      <w:pPr>
        <w:rPr>
          <w:rFonts w:hint="eastAsia"/>
        </w:rPr>
      </w:pPr>
      <w:r>
        <w:separator/>
      </w:r>
    </w:p>
  </w:endnote>
  <w:endnote w:type="continuationSeparator" w:id="0">
    <w:p w14:paraId="01BA2EE5" w14:textId="77777777" w:rsidR="005A0912" w:rsidRDefault="005A091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D47E8" w14:textId="77777777" w:rsidR="0016543F" w:rsidRDefault="00997784">
    <w:pPr>
      <w:spacing w:line="184" w:lineRule="exact"/>
      <w:ind w:left="20"/>
      <w:rPr>
        <w:rFonts w:hint="eastAsia"/>
      </w:rPr>
    </w:pPr>
    <w:r>
      <w:rPr>
        <w:rFonts w:ascii="Times" w:hAnsi="Times"/>
        <w:color w:val="000000" w:themeColor="text1"/>
        <w:sz w:val="20"/>
        <w:szCs w:val="20"/>
      </w:rPr>
      <w:t xml:space="preserve">© Copyright by Nowa Era Sp. z o.o. • </w:t>
    </w:r>
    <w:hyperlink r:id="rId1">
      <w:r>
        <w:rPr>
          <w:rStyle w:val="czeinternetowe"/>
          <w:rFonts w:ascii="Times" w:hAnsi="Times"/>
          <w:color w:val="000000" w:themeColor="text1"/>
          <w:sz w:val="20"/>
          <w:szCs w:val="20"/>
        </w:rPr>
        <w:t>www.nowaera.pl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905DF" w14:textId="77777777" w:rsidR="005A0912" w:rsidRDefault="005A0912">
      <w:pPr>
        <w:rPr>
          <w:rFonts w:hint="eastAsia"/>
        </w:rPr>
      </w:pPr>
      <w:r>
        <w:separator/>
      </w:r>
    </w:p>
  </w:footnote>
  <w:footnote w:type="continuationSeparator" w:id="0">
    <w:p w14:paraId="5E903AC7" w14:textId="77777777" w:rsidR="005A0912" w:rsidRDefault="005A091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0B5E"/>
    <w:multiLevelType w:val="multilevel"/>
    <w:tmpl w:val="AA4A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7293241"/>
    <w:multiLevelType w:val="multilevel"/>
    <w:tmpl w:val="6D26C5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2F965ED"/>
    <w:multiLevelType w:val="multilevel"/>
    <w:tmpl w:val="F6DE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56DE5C14"/>
    <w:multiLevelType w:val="multilevel"/>
    <w:tmpl w:val="5BB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678530E5"/>
    <w:multiLevelType w:val="multilevel"/>
    <w:tmpl w:val="D6B0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6CB367AE"/>
    <w:multiLevelType w:val="multilevel"/>
    <w:tmpl w:val="AE9E6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43F"/>
    <w:rsid w:val="0016543F"/>
    <w:rsid w:val="005A0912"/>
    <w:rsid w:val="00997784"/>
    <w:rsid w:val="00E20E8F"/>
    <w:rsid w:val="00E2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A8861"/>
  <w15:docId w15:val="{7C9C73C0-799F-4D87-8004-75ADB97B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2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hAnsi="Calibri" w:cs="OpenSymbol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Open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Open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ascii="Calibri" w:hAnsi="Calibri" w:cs="OpenSymbol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Open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ascii="Calibri" w:hAnsi="Calibri" w:cs="OpenSymbol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Open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Open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character" w:customStyle="1" w:styleId="ListLabel28">
    <w:name w:val="ListLabel 28"/>
    <w:qFormat/>
    <w:rPr>
      <w:rFonts w:ascii="Calibri" w:hAnsi="Calibri" w:cs="OpenSymbol"/>
    </w:rPr>
  </w:style>
  <w:style w:type="character" w:customStyle="1" w:styleId="ListLabel29">
    <w:name w:val="ListLabel 29"/>
    <w:qFormat/>
    <w:rPr>
      <w:rFonts w:cs="OpenSymbol"/>
    </w:rPr>
  </w:style>
  <w:style w:type="character" w:customStyle="1" w:styleId="ListLabel30">
    <w:name w:val="ListLabel 30"/>
    <w:qFormat/>
    <w:rPr>
      <w:rFonts w:cs="OpenSymbol"/>
    </w:rPr>
  </w:style>
  <w:style w:type="character" w:customStyle="1" w:styleId="ListLabel31">
    <w:name w:val="ListLabel 31"/>
    <w:qFormat/>
    <w:rPr>
      <w:rFonts w:cs="OpenSymbol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ascii="Calibri" w:hAnsi="Calibri"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rFonts w:cs="OpenSymbol"/>
    </w:rPr>
  </w:style>
  <w:style w:type="character" w:customStyle="1" w:styleId="ListLabel42">
    <w:name w:val="ListLabel 42"/>
    <w:qFormat/>
    <w:rPr>
      <w:rFonts w:cs="OpenSymbol"/>
    </w:rPr>
  </w:style>
  <w:style w:type="character" w:customStyle="1" w:styleId="ListLabel43">
    <w:name w:val="ListLabel 43"/>
    <w:qFormat/>
    <w:rPr>
      <w:rFonts w:cs="OpenSymbol"/>
    </w:rPr>
  </w:style>
  <w:style w:type="character" w:customStyle="1" w:styleId="ListLabel44">
    <w:name w:val="ListLabel 44"/>
    <w:qFormat/>
    <w:rPr>
      <w:rFonts w:cs="OpenSymbol"/>
    </w:rPr>
  </w:style>
  <w:style w:type="character" w:customStyle="1" w:styleId="ListLabel45">
    <w:name w:val="ListLabel 45"/>
    <w:qFormat/>
    <w:rPr>
      <w:rFonts w:cs="OpenSymbol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ListLabel46">
    <w:name w:val="ListLabel 46"/>
    <w:qFormat/>
    <w:rPr>
      <w:rFonts w:cs="OpenSymbol"/>
    </w:rPr>
  </w:style>
  <w:style w:type="character" w:customStyle="1" w:styleId="ListLabel47">
    <w:name w:val="ListLabel 47"/>
    <w:qFormat/>
    <w:rPr>
      <w:rFonts w:cs="OpenSymbol"/>
    </w:rPr>
  </w:style>
  <w:style w:type="character" w:customStyle="1" w:styleId="ListLabel48">
    <w:name w:val="ListLabel 48"/>
    <w:qFormat/>
    <w:rPr>
      <w:rFonts w:cs="OpenSymbol"/>
    </w:rPr>
  </w:style>
  <w:style w:type="character" w:customStyle="1" w:styleId="ListLabel49">
    <w:name w:val="ListLabel 49"/>
    <w:qFormat/>
    <w:rPr>
      <w:rFonts w:cs="OpenSymbol"/>
    </w:rPr>
  </w:style>
  <w:style w:type="character" w:customStyle="1" w:styleId="ListLabel50">
    <w:name w:val="ListLabel 50"/>
    <w:qFormat/>
    <w:rPr>
      <w:rFonts w:cs="OpenSymbol"/>
    </w:rPr>
  </w:style>
  <w:style w:type="character" w:customStyle="1" w:styleId="ListLabel51">
    <w:name w:val="ListLabel 51"/>
    <w:qFormat/>
    <w:rPr>
      <w:rFonts w:cs="OpenSymbol"/>
    </w:rPr>
  </w:style>
  <w:style w:type="character" w:customStyle="1" w:styleId="ListLabel52">
    <w:name w:val="ListLabel 52"/>
    <w:qFormat/>
    <w:rPr>
      <w:rFonts w:cs="OpenSymbol"/>
    </w:rPr>
  </w:style>
  <w:style w:type="character" w:customStyle="1" w:styleId="ListLabel53">
    <w:name w:val="ListLabel 53"/>
    <w:qFormat/>
    <w:rPr>
      <w:rFonts w:cs="OpenSymbol"/>
    </w:rPr>
  </w:style>
  <w:style w:type="character" w:customStyle="1" w:styleId="ListLabel54">
    <w:name w:val="ListLabel 54"/>
    <w:qFormat/>
    <w:rPr>
      <w:rFonts w:cs="OpenSymbol"/>
    </w:rPr>
  </w:style>
  <w:style w:type="character" w:customStyle="1" w:styleId="ListLabel55">
    <w:name w:val="ListLabel 55"/>
    <w:qFormat/>
    <w:rPr>
      <w:rFonts w:cs="OpenSymbol"/>
    </w:rPr>
  </w:style>
  <w:style w:type="character" w:customStyle="1" w:styleId="ListLabel56">
    <w:name w:val="ListLabel 56"/>
    <w:qFormat/>
    <w:rPr>
      <w:rFonts w:cs="OpenSymbol"/>
    </w:rPr>
  </w:style>
  <w:style w:type="character" w:customStyle="1" w:styleId="ListLabel57">
    <w:name w:val="ListLabel 57"/>
    <w:qFormat/>
    <w:rPr>
      <w:rFonts w:cs="OpenSymbol"/>
    </w:rPr>
  </w:style>
  <w:style w:type="character" w:customStyle="1" w:styleId="ListLabel58">
    <w:name w:val="ListLabel 58"/>
    <w:qFormat/>
    <w:rPr>
      <w:rFonts w:cs="OpenSymbol"/>
    </w:rPr>
  </w:style>
  <w:style w:type="character" w:customStyle="1" w:styleId="ListLabel59">
    <w:name w:val="ListLabel 59"/>
    <w:qFormat/>
    <w:rPr>
      <w:rFonts w:cs="OpenSymbol"/>
    </w:rPr>
  </w:style>
  <w:style w:type="character" w:customStyle="1" w:styleId="ListLabel60">
    <w:name w:val="ListLabel 60"/>
    <w:qFormat/>
    <w:rPr>
      <w:rFonts w:cs="OpenSymbol"/>
    </w:rPr>
  </w:style>
  <w:style w:type="character" w:customStyle="1" w:styleId="ListLabel61">
    <w:name w:val="ListLabel 61"/>
    <w:qFormat/>
    <w:rPr>
      <w:rFonts w:cs="OpenSymbol"/>
    </w:rPr>
  </w:style>
  <w:style w:type="character" w:customStyle="1" w:styleId="ListLabel62">
    <w:name w:val="ListLabel 62"/>
    <w:qFormat/>
    <w:rPr>
      <w:rFonts w:cs="OpenSymbol"/>
    </w:rPr>
  </w:style>
  <w:style w:type="character" w:customStyle="1" w:styleId="ListLabel63">
    <w:name w:val="ListLabel 63"/>
    <w:qFormat/>
    <w:rPr>
      <w:rFonts w:cs="OpenSymbol"/>
    </w:rPr>
  </w:style>
  <w:style w:type="character" w:customStyle="1" w:styleId="ListLabel64">
    <w:name w:val="ListLabel 64"/>
    <w:qFormat/>
    <w:rPr>
      <w:rFonts w:cs="OpenSymbol"/>
    </w:rPr>
  </w:style>
  <w:style w:type="character" w:customStyle="1" w:styleId="ListLabel65">
    <w:name w:val="ListLabel 65"/>
    <w:qFormat/>
    <w:rPr>
      <w:rFonts w:cs="OpenSymbol"/>
    </w:rPr>
  </w:style>
  <w:style w:type="character" w:customStyle="1" w:styleId="ListLabel66">
    <w:name w:val="ListLabel 66"/>
    <w:qFormat/>
    <w:rPr>
      <w:rFonts w:cs="OpenSymbol"/>
    </w:rPr>
  </w:style>
  <w:style w:type="character" w:customStyle="1" w:styleId="ListLabel67">
    <w:name w:val="ListLabel 67"/>
    <w:qFormat/>
    <w:rPr>
      <w:rFonts w:cs="OpenSymbol"/>
    </w:rPr>
  </w:style>
  <w:style w:type="character" w:customStyle="1" w:styleId="ListLabel68">
    <w:name w:val="ListLabel 68"/>
    <w:qFormat/>
    <w:rPr>
      <w:rFonts w:cs="OpenSymbol"/>
    </w:rPr>
  </w:style>
  <w:style w:type="character" w:customStyle="1" w:styleId="ListLabel69">
    <w:name w:val="ListLabel 69"/>
    <w:qFormat/>
    <w:rPr>
      <w:rFonts w:cs="OpenSymbol"/>
    </w:rPr>
  </w:style>
  <w:style w:type="character" w:customStyle="1" w:styleId="ListLabel70">
    <w:name w:val="ListLabel 70"/>
    <w:qFormat/>
    <w:rPr>
      <w:rFonts w:cs="OpenSymbol"/>
    </w:rPr>
  </w:style>
  <w:style w:type="character" w:customStyle="1" w:styleId="ListLabel71">
    <w:name w:val="ListLabel 71"/>
    <w:qFormat/>
    <w:rPr>
      <w:rFonts w:cs="OpenSymbol"/>
    </w:rPr>
  </w:style>
  <w:style w:type="character" w:customStyle="1" w:styleId="ListLabel72">
    <w:name w:val="ListLabel 72"/>
    <w:qFormat/>
    <w:rPr>
      <w:rFonts w:cs="OpenSymbol"/>
    </w:rPr>
  </w:style>
  <w:style w:type="character" w:customStyle="1" w:styleId="ListLabel73">
    <w:name w:val="ListLabel 73"/>
    <w:qFormat/>
    <w:rPr>
      <w:rFonts w:cs="OpenSymbol"/>
    </w:rPr>
  </w:style>
  <w:style w:type="character" w:customStyle="1" w:styleId="ListLabel74">
    <w:name w:val="ListLabel 74"/>
    <w:qFormat/>
    <w:rPr>
      <w:rFonts w:cs="OpenSymbol"/>
    </w:rPr>
  </w:style>
  <w:style w:type="character" w:customStyle="1" w:styleId="ListLabel75">
    <w:name w:val="ListLabel 75"/>
    <w:qFormat/>
    <w:rPr>
      <w:rFonts w:cs="OpenSymbol"/>
    </w:rPr>
  </w:style>
  <w:style w:type="character" w:customStyle="1" w:styleId="ListLabel76">
    <w:name w:val="ListLabel 76"/>
    <w:qFormat/>
    <w:rPr>
      <w:rFonts w:cs="OpenSymbol"/>
    </w:rPr>
  </w:style>
  <w:style w:type="character" w:customStyle="1" w:styleId="ListLabel77">
    <w:name w:val="ListLabel 77"/>
    <w:qFormat/>
    <w:rPr>
      <w:rFonts w:cs="OpenSymbol"/>
    </w:rPr>
  </w:style>
  <w:style w:type="character" w:customStyle="1" w:styleId="ListLabel78">
    <w:name w:val="ListLabel 78"/>
    <w:qFormat/>
    <w:rPr>
      <w:rFonts w:cs="OpenSymbol"/>
    </w:rPr>
  </w:style>
  <w:style w:type="character" w:customStyle="1" w:styleId="ListLabel79">
    <w:name w:val="ListLabel 79"/>
    <w:qFormat/>
    <w:rPr>
      <w:rFonts w:cs="OpenSymbol"/>
    </w:rPr>
  </w:style>
  <w:style w:type="character" w:customStyle="1" w:styleId="ListLabel80">
    <w:name w:val="ListLabel 80"/>
    <w:qFormat/>
    <w:rPr>
      <w:rFonts w:cs="OpenSymbol"/>
    </w:rPr>
  </w:style>
  <w:style w:type="character" w:customStyle="1" w:styleId="ListLabel81">
    <w:name w:val="ListLabel 81"/>
    <w:qFormat/>
    <w:rPr>
      <w:rFonts w:cs="OpenSymbol"/>
    </w:rPr>
  </w:style>
  <w:style w:type="character" w:customStyle="1" w:styleId="ListLabel82">
    <w:name w:val="ListLabel 82"/>
    <w:qFormat/>
    <w:rPr>
      <w:rFonts w:cs="OpenSymbol"/>
    </w:rPr>
  </w:style>
  <w:style w:type="character" w:customStyle="1" w:styleId="ListLabel83">
    <w:name w:val="ListLabel 83"/>
    <w:qFormat/>
    <w:rPr>
      <w:rFonts w:cs="OpenSymbol"/>
    </w:rPr>
  </w:style>
  <w:style w:type="character" w:customStyle="1" w:styleId="ListLabel84">
    <w:name w:val="ListLabel 84"/>
    <w:qFormat/>
    <w:rPr>
      <w:rFonts w:cs="OpenSymbol"/>
    </w:rPr>
  </w:style>
  <w:style w:type="character" w:customStyle="1" w:styleId="ListLabel85">
    <w:name w:val="ListLabel 85"/>
    <w:qFormat/>
    <w:rPr>
      <w:rFonts w:cs="OpenSymbol"/>
    </w:rPr>
  </w:style>
  <w:style w:type="character" w:customStyle="1" w:styleId="ListLabel86">
    <w:name w:val="ListLabel 86"/>
    <w:qFormat/>
    <w:rPr>
      <w:rFonts w:cs="OpenSymbol"/>
    </w:rPr>
  </w:style>
  <w:style w:type="character" w:customStyle="1" w:styleId="ListLabel87">
    <w:name w:val="ListLabel 87"/>
    <w:qFormat/>
    <w:rPr>
      <w:rFonts w:cs="OpenSymbol"/>
    </w:rPr>
  </w:style>
  <w:style w:type="character" w:customStyle="1" w:styleId="ListLabel88">
    <w:name w:val="ListLabel 88"/>
    <w:qFormat/>
    <w:rPr>
      <w:rFonts w:cs="OpenSymbol"/>
    </w:rPr>
  </w:style>
  <w:style w:type="character" w:customStyle="1" w:styleId="ListLabel89">
    <w:name w:val="ListLabel 89"/>
    <w:qFormat/>
    <w:rPr>
      <w:rFonts w:cs="OpenSymbol"/>
    </w:rPr>
  </w:style>
  <w:style w:type="character" w:customStyle="1" w:styleId="ListLabel90">
    <w:name w:val="ListLabel 90"/>
    <w:qFormat/>
    <w:rPr>
      <w:rFonts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waera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639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www.nowaera.pl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Sieczak</dc:creator>
  <dc:description/>
  <cp:lastModifiedBy>Lenovo</cp:lastModifiedBy>
  <cp:revision>2</cp:revision>
  <dcterms:created xsi:type="dcterms:W3CDTF">2026-09-04T15:09:00Z</dcterms:created>
  <dcterms:modified xsi:type="dcterms:W3CDTF">2026-09-04T15:09:00Z</dcterms:modified>
  <dc:language>pl-PL</dc:language>
</cp:coreProperties>
</file>